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4C306" w14:textId="77777777" w:rsidR="00326943" w:rsidRPr="00326943" w:rsidRDefault="00326943" w:rsidP="0072706A">
      <w:pPr>
        <w:shd w:val="clear" w:color="auto" w:fill="FFFFFF"/>
        <w:spacing w:before="100" w:beforeAutospacing="1" w:after="240" w:line="240" w:lineRule="auto"/>
        <w:jc w:val="center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326943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ТЕХНИЧЕСКОЕ ЗАДАНИЕ</w:t>
      </w:r>
      <w:r w:rsidRPr="00326943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</w:r>
      <w:r w:rsidRPr="00326943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на проектирование и монтаж системы видеонаблюдения</w:t>
      </w:r>
      <w:r w:rsidRPr="00326943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</w:r>
      <w:r w:rsidRPr="00326943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 гостинице по адресу: г. Санкт-Петербург, Инженерная улица, дом 6, лит. А</w:t>
      </w:r>
    </w:p>
    <w:p w14:paraId="5A6AA507" w14:textId="77777777" w:rsidR="00326943" w:rsidRPr="00326943" w:rsidRDefault="0072706A" w:rsidP="00326943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22596880">
          <v:rect id="_x0000_i1025" style="width:0;height:.75pt" o:hralign="center" o:hrstd="t" o:hrnoshade="t" o:hr="t" fillcolor="#0f1115" stroked="f"/>
        </w:pict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94"/>
      </w:tblGrid>
      <w:tr w:rsidR="0072706A" w:rsidRPr="00F751C7" w14:paraId="41CBE44C" w14:textId="77777777" w:rsidTr="0072706A">
        <w:trPr>
          <w:trHeight w:val="977"/>
        </w:trPr>
        <w:tc>
          <w:tcPr>
            <w:tcW w:w="10094" w:type="dxa"/>
            <w:tcBorders>
              <w:left w:val="single" w:sz="4" w:space="0" w:color="auto"/>
            </w:tcBorders>
          </w:tcPr>
          <w:p w14:paraId="4A7E51C0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1. Общие требования к системе видеонаблюдения.</w:t>
            </w:r>
          </w:p>
          <w:p w14:paraId="6B131906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1.1. Система видеонаблюдения должна быть спроектирована с учетом следующих требований:</w:t>
            </w:r>
          </w:p>
          <w:p w14:paraId="56B3F90F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сцены обзора видеокамер должны охватывать главный и запасной вход, тер</w:t>
            </w:r>
            <w:bookmarkStart w:id="0" w:name="_GoBack"/>
            <w:bookmarkEnd w:id="0"/>
            <w:r w:rsidRPr="00F751C7">
              <w:rPr>
                <w:spacing w:val="-1"/>
                <w:sz w:val="21"/>
                <w:szCs w:val="21"/>
              </w:rPr>
              <w:t>риторию объекта, внешний периметр объекта, другие помещения, требующие обеспечение визуального контроля;</w:t>
            </w:r>
          </w:p>
          <w:p w14:paraId="51669448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приоритет отдается монтажу источников видеоизображения на высоте 2,5 - 5 метров над уровнем земли;</w:t>
            </w:r>
          </w:p>
          <w:p w14:paraId="67537435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 xml:space="preserve">сцены обзора видеокамер не должны перекрываться (даже частично) оптически не прозрачными препятствиями </w:t>
            </w:r>
            <w:proofErr w:type="gramStart"/>
            <w:r w:rsidRPr="00F751C7">
              <w:rPr>
                <w:spacing w:val="-1"/>
                <w:sz w:val="21"/>
                <w:szCs w:val="21"/>
              </w:rPr>
              <w:t>как то</w:t>
            </w:r>
            <w:proofErr w:type="gramEnd"/>
            <w:r w:rsidRPr="00F751C7">
              <w:rPr>
                <w:spacing w:val="-1"/>
                <w:sz w:val="21"/>
                <w:szCs w:val="21"/>
              </w:rPr>
              <w:t>: ветки деревьев и кустарников, листва, различные трубы, столбы и прочие аналогичные объекты.</w:t>
            </w:r>
          </w:p>
          <w:p w14:paraId="079DFE3B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обеспечение передачи видеоизображения от всех видеокамер на локальный пост наблюдения объекта, а также оборудование хранения и обработки данных.</w:t>
            </w:r>
          </w:p>
          <w:p w14:paraId="532EE344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обеспечение работы в автоматизированном режиме;</w:t>
            </w:r>
          </w:p>
          <w:p w14:paraId="48D18CA2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архивирование видеоинформации для последующего анализа событий;</w:t>
            </w:r>
          </w:p>
          <w:p w14:paraId="2A0CF008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видео-документирование событий в автоматическом режиме или по команде оператора;</w:t>
            </w:r>
          </w:p>
          <w:p w14:paraId="4D6119D4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программирование режимов работы;</w:t>
            </w:r>
          </w:p>
          <w:p w14:paraId="2128B954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совместная работа с системами управления доступом и охранной сигнализации;</w:t>
            </w:r>
          </w:p>
          <w:p w14:paraId="325A80CA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воспроизведение ранее записанной информации;</w:t>
            </w:r>
          </w:p>
          <w:p w14:paraId="550BA4D7" w14:textId="77777777" w:rsidR="0072706A" w:rsidRPr="00F751C7" w:rsidRDefault="0072706A" w:rsidP="007270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оперативный доступ к видеоархиву путем задания времени, даты и идентификатора телекамеры.</w:t>
            </w:r>
          </w:p>
          <w:p w14:paraId="3ABFB5AE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1.2. Оборудование, устанавливаемое в отапливаемых помещениях, должно функционировать при температуре окружающего воздуха в интервале от +10°С до +50°С и относительной влажности воздуха до 95%. Оборудование, устанавливаемое вне отапливаемых помещений, должно функционировать при температуре окружающего воздуха в интервале от -40°С до +50°С и относительной влажности воздуха до 95 %.</w:t>
            </w:r>
          </w:p>
          <w:p w14:paraId="67A9AB6D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1.3. Система должна функционировать круглосуточно, без учёта времени, необходимого для поведения регламентных работ в соответствии с инструкциями по эксплуатации системы.</w:t>
            </w:r>
          </w:p>
          <w:p w14:paraId="73225EEB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1.4. Время восстановления системы после возобновления электроснабжения при временном прекращении электропитания – не более 5 (пяти) минут (включая полную перезагрузку программного обеспечения и восстановление работоспособности всех видов оборудования и подключенных к нему устройств); оборудование должно автоматически восстанавливать работоспособность при пропадании и последующем восстановлении питания.</w:t>
            </w:r>
          </w:p>
          <w:p w14:paraId="08A053E9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1.5. Все устанавливаемое оборудование должно иметь российские сертификаты соответствия, должно быть безвредно для здоровья лиц, имеющих доступ на территорию Объекта и эксплуатирующих его.</w:t>
            </w:r>
          </w:p>
          <w:p w14:paraId="09BFD2E9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2. Оборудование регистрации и отображения.</w:t>
            </w:r>
          </w:p>
          <w:p w14:paraId="1F0AF024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2.1. В качестве оборудования регистрации использовать цифровые дисковые рекордеры реального времени со следующими характеристиками:</w:t>
            </w:r>
          </w:p>
          <w:p w14:paraId="01AB511A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наличие функции одновременной работы в 4-х режимах (записи, поиска, воспроизведения и мониторинга в режиме реального времени);</w:t>
            </w:r>
          </w:p>
          <w:p w14:paraId="2452F284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объединения нескольких устройств по собственному протоколу для управления одним контроллером всеми регистраторами;</w:t>
            </w:r>
          </w:p>
          <w:p w14:paraId="1D2E81E8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работы по сети (одновременно с нескольких удалённых постов наблюдения) – работа с архивом, просмотр выбранных камер, удаленное управление телеметрией;</w:t>
            </w:r>
          </w:p>
          <w:p w14:paraId="1C3A647F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запись видеоизображения в реальном времени от всех камер с разрешением не менее 1280x720;</w:t>
            </w:r>
          </w:p>
          <w:p w14:paraId="072E0CFE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 xml:space="preserve">ёмкость архива системы видеонаблюдения не менее </w:t>
            </w:r>
            <w:r>
              <w:rPr>
                <w:spacing w:val="-1"/>
                <w:sz w:val="21"/>
                <w:szCs w:val="21"/>
              </w:rPr>
              <w:t>3</w:t>
            </w:r>
            <w:r w:rsidRPr="00F751C7">
              <w:rPr>
                <w:spacing w:val="-1"/>
                <w:sz w:val="21"/>
                <w:szCs w:val="21"/>
              </w:rPr>
              <w:t>0 суток в режиме реального времени;</w:t>
            </w:r>
          </w:p>
          <w:p w14:paraId="0CB5303D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lastRenderedPageBreak/>
              <w:t>для мест массового пребывания людей в соответствии с требованиями Постановления Правительства РФ от 25.03.2015 №272 «Об утверждении требований к антитеррористической защищённости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 система видеонаблюдения должна обеспечивать непрерывное видеонаблюдение за состоянием обстановки на всей территории места массового пребывания людей, архивирование и хранение данных в течение 30 дней;</w:t>
            </w:r>
          </w:p>
          <w:p w14:paraId="1E083DF9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подключения внешних накопителей для увеличения объёма видеоархива;</w:t>
            </w:r>
          </w:p>
          <w:p w14:paraId="3D3E3A92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наличие тревожных входов;</w:t>
            </w:r>
          </w:p>
          <w:p w14:paraId="1759C6F6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наличие аудиовходов;</w:t>
            </w:r>
          </w:p>
          <w:p w14:paraId="6A328FA0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обмена данными (в том числе ретрансляции) по протоколу RTSP (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Real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Time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Streaming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Protocol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>);</w:t>
            </w:r>
          </w:p>
          <w:p w14:paraId="30BCD92C" w14:textId="77777777" w:rsidR="0072706A" w:rsidRPr="00F751C7" w:rsidRDefault="0072706A" w:rsidP="0072706A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форматов сжатия видеоизображения H.264 и MJPEG.</w:t>
            </w:r>
          </w:p>
          <w:p w14:paraId="57E443FA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2.2. В качестве средств отображения использовать жидкокристаллические мониторы с диагональю не менее 21 дюйма, для каждого регистратора должно быть задействовано два монитора – основной, на котором отображаются все сигналы от видеокамер и дополнительный (контрольный), который должен работать в режиме переключения выбранных изображений, а в случае тревоги в зоне наблюдения видеокамеры изображение должно выводиться на весь экран дополнительного монитора.</w:t>
            </w:r>
          </w:p>
          <w:p w14:paraId="6B10A33C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3. Технические требования к видеокамерам.</w:t>
            </w:r>
          </w:p>
          <w:p w14:paraId="785337B2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Должны применяться следующие типы видеокамер:</w:t>
            </w:r>
          </w:p>
          <w:p w14:paraId="2B8C8E18" w14:textId="77777777" w:rsidR="0072706A" w:rsidRPr="00F751C7" w:rsidRDefault="0072706A" w:rsidP="0072706A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фиксированная видеокамера (тип 1);</w:t>
            </w:r>
          </w:p>
          <w:p w14:paraId="4A33EDE2" w14:textId="77777777" w:rsidR="0072706A" w:rsidRPr="00F751C7" w:rsidRDefault="0072706A" w:rsidP="0072706A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поворотная, управляемая PTZ видеокамера (тип 2).</w:t>
            </w:r>
          </w:p>
          <w:p w14:paraId="4539D5A9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Уличные видеокамеры должны быть установлены в </w:t>
            </w:r>
            <w:proofErr w:type="spellStart"/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гермокожух</w:t>
            </w:r>
            <w:proofErr w:type="spellEnd"/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с подогревом. Степень защиты </w:t>
            </w:r>
            <w:proofErr w:type="spellStart"/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гермокожуха</w:t>
            </w:r>
            <w:proofErr w:type="spellEnd"/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должна быть не менее IP 65.</w:t>
            </w:r>
          </w:p>
          <w:p w14:paraId="56C69713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3.1. Требования к техническим и функциональным характеристикам видеокамер тип 1:</w:t>
            </w:r>
          </w:p>
          <w:p w14:paraId="1B9E9636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разрешения видеоизображения, по выбору пользователя (первое значение количество точек по горизонтали второе значение количество точек по вертикали): 1280 точек на 720 точек, 30 кадр/с (720p) или 1280 точек на 720 точек, 25 кадр/с или 1024 точек на 576 точек, 30 кадр/с или 960 точек на 544 точек, 30 кадр/с или 704 точек на 480 точек, 30 кадр/с или 704 точек на 576 точек, 30 кадр/с (4CIF) или 640 точек на 368 точек, 30 кадр/с или 352 точек на 240 точек, 30 кадр/с или 352 точек на 288 точек,30 кадр/с или 352 точек на 240 точек, 25 кадр/с (CIF);</w:t>
            </w:r>
          </w:p>
          <w:p w14:paraId="2DF55515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формат сжатия видеосигнала H.264 и MJPEG;</w:t>
            </w:r>
          </w:p>
          <w:p w14:paraId="37CDDAB3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изображение цветное соответствующее ГОСТ 50948-2001;</w:t>
            </w:r>
          </w:p>
          <w:p w14:paraId="6F4BD739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proofErr w:type="spellStart"/>
            <w:r w:rsidRPr="00F751C7">
              <w:rPr>
                <w:spacing w:val="-1"/>
                <w:sz w:val="21"/>
                <w:szCs w:val="21"/>
              </w:rPr>
              <w:t>битрейт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>: не менее 2 Мбит\сек;</w:t>
            </w:r>
          </w:p>
          <w:p w14:paraId="4B8C8983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 xml:space="preserve">минимальная освещенность не более 0,5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лк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>;</w:t>
            </w:r>
          </w:p>
          <w:p w14:paraId="69843E54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 xml:space="preserve">наличие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варифокального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объектива;</w:t>
            </w:r>
          </w:p>
          <w:p w14:paraId="11581142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минимальное фокусное расстояние объектива не более 2,8 мм</w:t>
            </w:r>
          </w:p>
          <w:p w14:paraId="7A9AC44D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максимальное фокусное расстояние объектива не менее 12,0 мм;</w:t>
            </w:r>
          </w:p>
          <w:p w14:paraId="1E69A813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наличие встроенной инфракрасной подсветки с дальностью не менее 30 м;</w:t>
            </w:r>
          </w:p>
          <w:p w14:paraId="56619C2B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наличие компенсации заднего света (BLC);</w:t>
            </w:r>
          </w:p>
          <w:p w14:paraId="79B11175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обмена данными по протоколу RTSP (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Real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Time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Streaming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Protocol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>);</w:t>
            </w:r>
          </w:p>
          <w:p w14:paraId="18F7AEAA" w14:textId="77777777" w:rsidR="0072706A" w:rsidRPr="00F751C7" w:rsidRDefault="0072706A" w:rsidP="0072706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управления по протоколу ONVIF: приближение и отдаление сцены обзора, без изменения ракурса в пределах возможностей объектива источника видеоизображения.</w:t>
            </w:r>
          </w:p>
          <w:p w14:paraId="70F47EA8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3.2. Требования к техническим и функциональным характеристикам видеокамер тип 2:</w:t>
            </w:r>
          </w:p>
          <w:p w14:paraId="6EABD722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разрешения видеоизображения, по выбору пользователя (первое значение количество точек по горизонтали второе значение количество точек по вертикали): 1280 точек на 720 точек, 30 кадр/с (720p) или 1280 точек на 720 точек, 25 кадр/с или 1024 точек на 576 точек, 30 кадр/с или 960 точек на 544 точек, 30 кадр/с или 704 точек на 480 точек, 30 кадр/с или 704 точек на 576 точек, 30 кадр/с (4CIF) или 640 точек на 368 точек, 30 кадр/с или 352 точек на 240 точек, 30 кадр/с или 352 точек на 288 точек,30 кадр/с или 352 точек на 240 точек, 25 кадр/с (CIF);</w:t>
            </w:r>
          </w:p>
          <w:p w14:paraId="516926F7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формат сжатия видеосигнала H.264 и MJPEG;</w:t>
            </w:r>
          </w:p>
          <w:p w14:paraId="4A08B60F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изображение цветное соответствующее ГОСТ 50948-2001;</w:t>
            </w:r>
          </w:p>
          <w:p w14:paraId="4B3D3F9B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proofErr w:type="spellStart"/>
            <w:r w:rsidRPr="00F751C7">
              <w:rPr>
                <w:spacing w:val="-1"/>
                <w:sz w:val="21"/>
                <w:szCs w:val="21"/>
              </w:rPr>
              <w:lastRenderedPageBreak/>
              <w:t>битрейт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>: не менее 4 Мбит\сек;</w:t>
            </w:r>
          </w:p>
          <w:p w14:paraId="07BDF534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 xml:space="preserve">минимальная освещенность не более 0,5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лк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>;</w:t>
            </w:r>
          </w:p>
          <w:p w14:paraId="1D7481D7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 xml:space="preserve">наличие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варифокального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объектива;</w:t>
            </w:r>
          </w:p>
          <w:p w14:paraId="19A5E68E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минимальное фокусное расстояние объектива не более 3,8 мм;</w:t>
            </w:r>
          </w:p>
          <w:p w14:paraId="0C8A9A13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максимальное фокусное расстояние объектива не менее 45,6 мм;</w:t>
            </w:r>
          </w:p>
          <w:p w14:paraId="3C457F21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оптическое увеличение объектива не менее чем в 12 раз;</w:t>
            </w:r>
          </w:p>
          <w:p w14:paraId="512ADF9E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 xml:space="preserve">цифровое увеличение не менее чем в 10 раз; </w:t>
            </w:r>
          </w:p>
          <w:p w14:paraId="74D186F0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наличие встроенной инфракрасной подсветки с дальностью не менее 30 м;</w:t>
            </w:r>
          </w:p>
          <w:p w14:paraId="25329D86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наличие компенсации заднего света (BLC);</w:t>
            </w:r>
          </w:p>
          <w:p w14:paraId="21D1ECBB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обмена данными по протоколу RTSP (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Real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Time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Streaming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751C7">
              <w:rPr>
                <w:spacing w:val="-1"/>
                <w:sz w:val="21"/>
                <w:szCs w:val="21"/>
              </w:rPr>
              <w:t>Protocol</w:t>
            </w:r>
            <w:proofErr w:type="spellEnd"/>
            <w:r w:rsidRPr="00F751C7">
              <w:rPr>
                <w:spacing w:val="-1"/>
                <w:sz w:val="21"/>
                <w:szCs w:val="21"/>
              </w:rPr>
              <w:t>);</w:t>
            </w:r>
          </w:p>
          <w:p w14:paraId="0D738D9D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наклон и высокоскоростное панорамирование с обзором на 360°. Скорость поворота не менее 90 °/сек;</w:t>
            </w:r>
          </w:p>
          <w:p w14:paraId="250C850C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управления по протоколу ONVIF: изменение ракурса сцены обзора вправо, влево, вверх, вниз в пределах возможностей источника видеоизображения;</w:t>
            </w:r>
          </w:p>
          <w:p w14:paraId="6C58DBFF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поддержка управления по протоколу ONVIF: приближения и отдаление сцены обзора, без изменения ракурса в пределах возможностей объектива источника видеоизображения;</w:t>
            </w:r>
          </w:p>
          <w:p w14:paraId="27FCC025" w14:textId="77777777" w:rsidR="0072706A" w:rsidRPr="00F751C7" w:rsidRDefault="0072706A" w:rsidP="0072706A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возможность организации патрулирования (автоматического перемещения видеокамеры для наблюдения за заранее выбранными зонами).</w:t>
            </w:r>
          </w:p>
          <w:p w14:paraId="266424AF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4. Технические требования к размещению оборудования и прокладке кабелей:</w:t>
            </w:r>
          </w:p>
          <w:p w14:paraId="6AE00DDC" w14:textId="77777777" w:rsidR="0072706A" w:rsidRPr="00F751C7" w:rsidRDefault="0072706A" w:rsidP="0072706A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 xml:space="preserve">проектируемое оборудование СВН разместить </w:t>
            </w:r>
            <w:proofErr w:type="gramStart"/>
            <w:r w:rsidRPr="00F751C7">
              <w:rPr>
                <w:spacing w:val="-1"/>
                <w:sz w:val="21"/>
                <w:szCs w:val="21"/>
              </w:rPr>
              <w:t>в серверной объекта</w:t>
            </w:r>
            <w:proofErr w:type="gramEnd"/>
            <w:r w:rsidRPr="00F751C7">
              <w:rPr>
                <w:spacing w:val="-1"/>
                <w:sz w:val="21"/>
                <w:szCs w:val="21"/>
              </w:rPr>
              <w:t xml:space="preserve"> либо в специально приспособленном помещении. Местоположение шкафа уточнить при проектировании и согласовать с Заказчиком;</w:t>
            </w:r>
          </w:p>
          <w:p w14:paraId="3080AB48" w14:textId="77777777" w:rsidR="0072706A" w:rsidRPr="00F751C7" w:rsidRDefault="0072706A" w:rsidP="0072706A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при проектировании нового объекта строительства или капитальном ремонте предусмотреть выделение обособленного помещения для размещения технических средств с учётом требований к серверному помещению в соответствии с СН 512-78 «Требования к помещениям серверной»;</w:t>
            </w:r>
          </w:p>
          <w:p w14:paraId="5337B475" w14:textId="77777777" w:rsidR="0072706A" w:rsidRPr="00F751C7" w:rsidRDefault="0072706A" w:rsidP="0072706A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предусмотреть установку проектируемых видеокамер с применением кронштейнов для крепления к стене или потолку;</w:t>
            </w:r>
          </w:p>
          <w:p w14:paraId="1B12DB66" w14:textId="77777777" w:rsidR="0072706A" w:rsidRPr="00F751C7" w:rsidRDefault="0072706A" w:rsidP="0072706A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прокладка кабелей внутри здания предусмотреть в кабельных каналах по стенам и потолку, в гофрированной трубе за подвесным потолком (при наличии), в существующих лотках слаботочной кабельной системы (при наличии);</w:t>
            </w:r>
          </w:p>
          <w:p w14:paraId="3D77AB4D" w14:textId="77777777" w:rsidR="0072706A" w:rsidRPr="00F751C7" w:rsidRDefault="0072706A" w:rsidP="0072706A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прокладку кабелей по улице должна быть выполнена на высоте не менее 2,5 метров в гофрированной отрубе, рассчитанной на эксплуатацию при температуре от -40°C до +50°C;</w:t>
            </w:r>
          </w:p>
          <w:p w14:paraId="32F37B3F" w14:textId="77777777" w:rsidR="0072706A" w:rsidRPr="00F751C7" w:rsidRDefault="0072706A" w:rsidP="0072706A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both"/>
              <w:rPr>
                <w:spacing w:val="-1"/>
                <w:sz w:val="21"/>
                <w:szCs w:val="21"/>
              </w:rPr>
            </w:pPr>
            <w:r w:rsidRPr="00F751C7">
              <w:rPr>
                <w:spacing w:val="-1"/>
                <w:sz w:val="21"/>
                <w:szCs w:val="21"/>
              </w:rPr>
              <w:t>трассы прокладки кабелей, точное местоположение и углы обзора проектируемых видеокамер определить при проектировании и согласовать с Заказчиком.</w:t>
            </w:r>
          </w:p>
        </w:tc>
      </w:tr>
      <w:tr w:rsidR="0072706A" w:rsidRPr="00F751C7" w14:paraId="7D38DFA7" w14:textId="77777777" w:rsidTr="0072706A">
        <w:tc>
          <w:tcPr>
            <w:tcW w:w="10094" w:type="dxa"/>
            <w:tcBorders>
              <w:left w:val="single" w:sz="4" w:space="0" w:color="auto"/>
            </w:tcBorders>
          </w:tcPr>
          <w:p w14:paraId="46020B3B" w14:textId="77777777" w:rsidR="0072706A" w:rsidRPr="00F751C7" w:rsidRDefault="0072706A" w:rsidP="00AD2A4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1. Документацией предусмотреть подключения системы </w:t>
            </w: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видеонаблюдения</w:t>
            </w:r>
            <w:r w:rsidRPr="00F751C7">
              <w:rPr>
                <w:rFonts w:ascii="Times New Roman" w:hAnsi="Times New Roman" w:cs="Times New Roman"/>
                <w:sz w:val="21"/>
                <w:szCs w:val="21"/>
              </w:rPr>
              <w:t xml:space="preserve"> к существующей системе электропитания и заземления здания 380/220В:</w:t>
            </w:r>
          </w:p>
          <w:p w14:paraId="5775A52F" w14:textId="77777777" w:rsidR="0072706A" w:rsidRPr="00F751C7" w:rsidRDefault="0072706A" w:rsidP="00AD2A4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z w:val="21"/>
                <w:szCs w:val="21"/>
              </w:rPr>
              <w:t xml:space="preserve">1.1. Предусмотреть прокладку кабеля электропитания от точки подключения до места расположения проектируемого оборудования системы </w:t>
            </w: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видеонаблюдения</w:t>
            </w:r>
            <w:r w:rsidRPr="00F751C7">
              <w:rPr>
                <w:rFonts w:ascii="Times New Roman" w:hAnsi="Times New Roman" w:cs="Times New Roman"/>
                <w:sz w:val="21"/>
                <w:szCs w:val="21"/>
              </w:rPr>
              <w:t>, марку и сечение кабелей электропитания определить при проектировании;</w:t>
            </w:r>
          </w:p>
          <w:p w14:paraId="574ED23E" w14:textId="77777777" w:rsidR="0072706A" w:rsidRPr="00F751C7" w:rsidRDefault="0072706A" w:rsidP="00AD2A4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z w:val="21"/>
                <w:szCs w:val="21"/>
              </w:rPr>
              <w:t>1.2. В точке подключения к сети электропитания предусмотреть установку автоматических выключателей необходимого номинала;</w:t>
            </w:r>
          </w:p>
          <w:p w14:paraId="05E46A05" w14:textId="77777777" w:rsidR="0072706A" w:rsidRPr="00F751C7" w:rsidRDefault="0072706A" w:rsidP="00AD2A4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z w:val="21"/>
                <w:szCs w:val="21"/>
              </w:rPr>
              <w:t>1.3. Точка подключения определяется совместно представителем владельца здания во время проведения проектно-изыскательских работ.</w:t>
            </w:r>
          </w:p>
          <w:p w14:paraId="26C3FEF6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2. Электропитание оборудование СВН должно быть предусмотрено от источников бесперебойного питания (UPS), оснащенных автономными источниками электроэнергии (аккумуляторными батареями), которые должны обеспечивать работоспособность всех элементов системы в течение не менее 10 (десяти) минут при пропадании основного электропитания.</w:t>
            </w:r>
          </w:p>
          <w:p w14:paraId="4818DF3C" w14:textId="77777777" w:rsidR="0072706A" w:rsidRPr="00F751C7" w:rsidRDefault="0072706A" w:rsidP="00AD2A4F">
            <w:pPr>
              <w:rPr>
                <w:rFonts w:ascii="Times New Roman" w:hAnsi="Times New Roman" w:cs="Times New Roman"/>
                <w:spacing w:val="-1"/>
                <w:sz w:val="21"/>
                <w:szCs w:val="21"/>
              </w:rPr>
            </w:pP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3. Электропитание цифровых видеокамер должно быть предусмотрено по технологии </w:t>
            </w:r>
            <w:proofErr w:type="spellStart"/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  <w:lang w:val="en-US"/>
              </w:rPr>
              <w:t>PoE</w:t>
            </w:r>
            <w:proofErr w:type="spellEnd"/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(</w:t>
            </w: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  <w:lang w:val="en-US"/>
              </w:rPr>
              <w:t>IEEE</w:t>
            </w: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802.3</w:t>
            </w:r>
            <w:proofErr w:type="spellStart"/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  <w:lang w:val="en-US"/>
              </w:rPr>
              <w:t>af</w:t>
            </w:r>
            <w:proofErr w:type="spellEnd"/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/ </w:t>
            </w: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  <w:lang w:val="en-US"/>
              </w:rPr>
              <w:t>IEEE</w:t>
            </w: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802.3</w:t>
            </w: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  <w:lang w:val="en-US"/>
              </w:rPr>
              <w:t>at</w:t>
            </w:r>
            <w:r w:rsidRPr="00F751C7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>).</w:t>
            </w:r>
          </w:p>
        </w:tc>
      </w:tr>
    </w:tbl>
    <w:p w14:paraId="3BDF07A1" w14:textId="77777777" w:rsidR="0072706A" w:rsidRDefault="0072706A" w:rsidP="007270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983E6D2" w14:textId="77777777" w:rsidR="0072706A" w:rsidRDefault="0072706A" w:rsidP="007270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5EDF308" w14:textId="77777777" w:rsidR="0072706A" w:rsidRDefault="0072706A" w:rsidP="007270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1EEAA2A0" w14:textId="343AFC4D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2706A">
        <w:rPr>
          <w:rFonts w:ascii="Times New Roman" w:eastAsia="Times New Roman" w:hAnsi="Times New Roman" w:cs="Times New Roman"/>
          <w:b/>
          <w:lang w:eastAsia="ru-RU"/>
        </w:rPr>
        <w:lastRenderedPageBreak/>
        <w:t>Работы по монтажу системы пожарной сигнализации</w:t>
      </w:r>
    </w:p>
    <w:p w14:paraId="2A6DA1AD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AE0439D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Перед началом монтажных работ подрядчик обязан предоставить образец применяемых материалов со всеми необходимыми сертификатами.</w:t>
      </w:r>
    </w:p>
    <w:p w14:paraId="188EA8BE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 xml:space="preserve">- Открытая прокладка кабеля в 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гофротрубе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 xml:space="preserve"> допускается по потолкам технологических помещений, помещения технического этажа, помещения насосных, и т.п. при этом шаг крепления не более 400 мм. При прохождении углов строительных конструкций 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гофротруба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 xml:space="preserve"> крепится к обеим сторонам угла, для недопущения провиса кабеля.</w:t>
      </w:r>
    </w:p>
    <w:p w14:paraId="33EC382C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При параллельной прокладке более 5-ти кабелей рекомендуется применение лотка малого сечения.</w:t>
      </w:r>
    </w:p>
    <w:p w14:paraId="0833BDD7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Любой излом кабеля, в том числе следы изломов на кабеле, следы механического сдавливания, повреждения изоляции являются достаточным условием для требования замены кабельной линии подрядчиком.</w:t>
      </w:r>
    </w:p>
    <w:p w14:paraId="44068A04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 xml:space="preserve">- Прокладка кабеля внутри строительных конструкций осуществляется в 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гофротрубе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 xml:space="preserve"> с обязательным креплением к конструкции.</w:t>
      </w:r>
    </w:p>
    <w:p w14:paraId="49E99C09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Прокладка кабельных трасс в кабельных лотках осуществляется без применения дополнительной защиты (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гофротрубы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 xml:space="preserve"> и проч.).</w:t>
      </w:r>
    </w:p>
    <w:p w14:paraId="2213E448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 xml:space="preserve">   - Сращивание кабеля допускается в 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ответвительных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 xml:space="preserve"> коробках, с обязательным отражением места расположения коробок в исполнительной документации. При этом обязательных условием является использование однотипного кабеля, с идентичными цветовыми схемами обозначения токопроводящих жил.</w:t>
      </w:r>
    </w:p>
    <w:p w14:paraId="70295DEB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 xml:space="preserve">- Все соединения и подключения к оборудованию должны производиться исключительно в 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ответвительных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 xml:space="preserve"> коробках.</w:t>
      </w:r>
    </w:p>
    <w:p w14:paraId="7E04F04F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Требуется использовать раздельные коробки для трасс высокого и низкого напряжения.</w:t>
      </w:r>
    </w:p>
    <w:p w14:paraId="1E84154A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 xml:space="preserve">         - Для соединения кабеля использовать изолированные пружинные зажимы, допускается соединение 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опрессовкой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>. Использование скруток не допускается.</w:t>
      </w:r>
    </w:p>
    <w:p w14:paraId="4C3184D5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Монтаж кабельных лотков, кабель каналов должен осуществляться с обязательным использованием штатных узлов креплений, узлов поворотов и штатных аксессуаров.</w:t>
      </w:r>
    </w:p>
    <w:p w14:paraId="22C1CE20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Места подключения заземляющего проводника к металлическим лоткам должны быть доступны для визуального контроля в процессе эксплуатации.</w:t>
      </w:r>
    </w:p>
    <w:p w14:paraId="000D66F0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Места прохода через строительные конструкции должны быть заделаны сертифицированной легкоудаляемой несгораемой массой, приоритетным является применение специализированных противопожарных кабельных проходок. Следует обращать внимание на сохранение звукоизоляционных свойств перегородок и перекрытий.</w:t>
      </w:r>
    </w:p>
    <w:p w14:paraId="1D32B957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 xml:space="preserve">-Запрещается использование 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гофротрубы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>, кабель каналы для внутренней прокладки снаружи здания.</w:t>
      </w:r>
    </w:p>
    <w:p w14:paraId="3DFD0244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Мероприятия по заземлению оборудования, прокладка шин и проводников до ГЗШ здания производится силами подрядчика.</w:t>
      </w:r>
    </w:p>
    <w:p w14:paraId="2E4CD301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Маркировка кабеля производится по наружной изоляции при заведении кабеля в оборудование, при следовании кабельной линии последовательно через несколько приборов, необходимо указывать приходящий и отходящий кабель.</w:t>
      </w:r>
    </w:p>
    <w:p w14:paraId="5447A135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Маркировка кабеля должна совпадать с маркировкой в кабельном журнале исполнительной документации.</w:t>
      </w:r>
    </w:p>
    <w:p w14:paraId="5B0051E8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Маркирующая наклейка должна отражать четкое соответствие между информацией кабельного журнала и фактически проложенной линией. Надпись выполняется машинным способом, и не должна смываться под воздействием воды и быть устойчивой к истиранию под механическим воздействием.</w:t>
      </w:r>
    </w:p>
    <w:p w14:paraId="36532173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>-  Необходимо разместить наклейку с номером на каждое устройство.</w:t>
      </w:r>
    </w:p>
    <w:p w14:paraId="2E370F65" w14:textId="77777777" w:rsidR="0072706A" w:rsidRPr="0072706A" w:rsidRDefault="0072706A" w:rsidP="0072706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06A">
        <w:rPr>
          <w:rFonts w:ascii="Times New Roman" w:eastAsia="Times New Roman" w:hAnsi="Times New Roman" w:cs="Times New Roman"/>
          <w:lang w:eastAsia="ru-RU"/>
        </w:rPr>
        <w:t xml:space="preserve">-  Номер каждого датчика должен быть нанесен в виде наклейки на сам корпус пожарного </w:t>
      </w:r>
      <w:proofErr w:type="spellStart"/>
      <w:r w:rsidRPr="0072706A">
        <w:rPr>
          <w:rFonts w:ascii="Times New Roman" w:eastAsia="Times New Roman" w:hAnsi="Times New Roman" w:cs="Times New Roman"/>
          <w:lang w:eastAsia="ru-RU"/>
        </w:rPr>
        <w:t>извещателя</w:t>
      </w:r>
      <w:proofErr w:type="spellEnd"/>
      <w:r w:rsidRPr="0072706A">
        <w:rPr>
          <w:rFonts w:ascii="Times New Roman" w:eastAsia="Times New Roman" w:hAnsi="Times New Roman" w:cs="Times New Roman"/>
          <w:lang w:eastAsia="ru-RU"/>
        </w:rPr>
        <w:t>.</w:t>
      </w:r>
    </w:p>
    <w:p w14:paraId="7C7BBEF2" w14:textId="10F2B7B5" w:rsidR="004B53B9" w:rsidRDefault="004B53B9" w:rsidP="0072706A">
      <w:pPr>
        <w:shd w:val="clear" w:color="auto" w:fill="FFFFFF"/>
        <w:spacing w:before="480" w:after="240" w:line="450" w:lineRule="atLeast"/>
        <w:outlineLvl w:val="2"/>
      </w:pPr>
    </w:p>
    <w:sectPr w:rsidR="004B5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4B6"/>
    <w:multiLevelType w:val="multilevel"/>
    <w:tmpl w:val="25CEA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448BB"/>
    <w:multiLevelType w:val="multilevel"/>
    <w:tmpl w:val="F3F8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AD3C92"/>
    <w:multiLevelType w:val="hybridMultilevel"/>
    <w:tmpl w:val="C0D65FEE"/>
    <w:lvl w:ilvl="0" w:tplc="355EB39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19E1134C"/>
    <w:multiLevelType w:val="multilevel"/>
    <w:tmpl w:val="10A4C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A27BB1"/>
    <w:multiLevelType w:val="multilevel"/>
    <w:tmpl w:val="3152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724342"/>
    <w:multiLevelType w:val="multilevel"/>
    <w:tmpl w:val="D5B2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BB64DB"/>
    <w:multiLevelType w:val="hybridMultilevel"/>
    <w:tmpl w:val="F322F5C2"/>
    <w:lvl w:ilvl="0" w:tplc="355EB39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2C480902"/>
    <w:multiLevelType w:val="multilevel"/>
    <w:tmpl w:val="95E2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47698"/>
    <w:multiLevelType w:val="hybridMultilevel"/>
    <w:tmpl w:val="D57A493A"/>
    <w:lvl w:ilvl="0" w:tplc="355EB39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43486656"/>
    <w:multiLevelType w:val="multilevel"/>
    <w:tmpl w:val="653E9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552D4A"/>
    <w:multiLevelType w:val="multilevel"/>
    <w:tmpl w:val="35F6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50AAE"/>
    <w:multiLevelType w:val="hybridMultilevel"/>
    <w:tmpl w:val="C122B8B0"/>
    <w:lvl w:ilvl="0" w:tplc="355EB39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5E88414D"/>
    <w:multiLevelType w:val="hybridMultilevel"/>
    <w:tmpl w:val="C268AF70"/>
    <w:lvl w:ilvl="0" w:tplc="355EB39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61C32F51"/>
    <w:multiLevelType w:val="hybridMultilevel"/>
    <w:tmpl w:val="090E9724"/>
    <w:lvl w:ilvl="0" w:tplc="355EB39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64707767"/>
    <w:multiLevelType w:val="multilevel"/>
    <w:tmpl w:val="13A2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501174"/>
    <w:multiLevelType w:val="multilevel"/>
    <w:tmpl w:val="A7DC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E273BE"/>
    <w:multiLevelType w:val="multilevel"/>
    <w:tmpl w:val="40AE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6A57DD"/>
    <w:multiLevelType w:val="multilevel"/>
    <w:tmpl w:val="1E3C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10"/>
  </w:num>
  <w:num w:numId="5">
    <w:abstractNumId w:val="4"/>
  </w:num>
  <w:num w:numId="6">
    <w:abstractNumId w:val="9"/>
  </w:num>
  <w:num w:numId="7">
    <w:abstractNumId w:val="1"/>
  </w:num>
  <w:num w:numId="8">
    <w:abstractNumId w:val="3"/>
  </w:num>
  <w:num w:numId="9">
    <w:abstractNumId w:val="17"/>
  </w:num>
  <w:num w:numId="10">
    <w:abstractNumId w:val="0"/>
  </w:num>
  <w:num w:numId="11">
    <w:abstractNumId w:val="5"/>
  </w:num>
  <w:num w:numId="12">
    <w:abstractNumId w:val="16"/>
  </w:num>
  <w:num w:numId="13">
    <w:abstractNumId w:val="11"/>
  </w:num>
  <w:num w:numId="14">
    <w:abstractNumId w:val="2"/>
  </w:num>
  <w:num w:numId="15">
    <w:abstractNumId w:val="12"/>
  </w:num>
  <w:num w:numId="16">
    <w:abstractNumId w:val="6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2DC"/>
    <w:rsid w:val="00326943"/>
    <w:rsid w:val="004B53B9"/>
    <w:rsid w:val="005430B7"/>
    <w:rsid w:val="005822DC"/>
    <w:rsid w:val="00684186"/>
    <w:rsid w:val="0072706A"/>
    <w:rsid w:val="008F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A476"/>
  <w15:chartTrackingRefBased/>
  <w15:docId w15:val="{5D40FD19-9852-4BA7-81DF-D3D4580E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69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69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326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26943"/>
    <w:rPr>
      <w:b/>
      <w:bCs/>
    </w:rPr>
  </w:style>
  <w:style w:type="paragraph" w:styleId="a4">
    <w:name w:val="List Paragraph"/>
    <w:basedOn w:val="a"/>
    <w:uiPriority w:val="34"/>
    <w:qFormat/>
    <w:rsid w:val="0032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User</cp:lastModifiedBy>
  <cp:revision>2</cp:revision>
  <dcterms:created xsi:type="dcterms:W3CDTF">2025-09-12T12:52:00Z</dcterms:created>
  <dcterms:modified xsi:type="dcterms:W3CDTF">2025-09-12T12:52:00Z</dcterms:modified>
</cp:coreProperties>
</file>